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0201E1" w:rsidRDefault="000201E1" w:rsidP="000201E1">
      <w:pPr>
        <w:jc w:val="center"/>
        <w:rPr>
          <w:rFonts w:ascii="微软雅黑" w:eastAsia="微软雅黑" w:hAnsi="微软雅黑" w:hint="eastAsia"/>
          <w:color w:val="1966A7"/>
          <w:sz w:val="32"/>
          <w:szCs w:val="32"/>
        </w:rPr>
      </w:pPr>
      <w:r w:rsidRPr="000201E1">
        <w:rPr>
          <w:rFonts w:ascii="微软雅黑" w:eastAsia="微软雅黑" w:hAnsi="微软雅黑" w:hint="eastAsia"/>
          <w:color w:val="1966A7"/>
          <w:sz w:val="32"/>
          <w:szCs w:val="32"/>
        </w:rPr>
        <w:t>关于《医学科研诚信和相关行为规范》修订的解读</w:t>
      </w:r>
    </w:p>
    <w:p w:rsidR="000201E1" w:rsidRPr="000201E1" w:rsidRDefault="000201E1" w:rsidP="000201E1">
      <w:pPr>
        <w:pStyle w:val="a5"/>
        <w:spacing w:before="0" w:beforeAutospacing="0" w:after="0" w:afterAutospacing="0"/>
        <w:ind w:firstLine="480"/>
        <w:jc w:val="center"/>
        <w:rPr>
          <w:rFonts w:ascii="微软雅黑" w:eastAsia="微软雅黑" w:hAnsi="微软雅黑" w:hint="eastAsia"/>
          <w:color w:val="484848"/>
          <w:sz w:val="28"/>
          <w:szCs w:val="28"/>
        </w:rPr>
      </w:pPr>
      <w:r w:rsidRPr="000201E1">
        <w:rPr>
          <w:rFonts w:ascii="微软雅黑" w:eastAsia="微软雅黑" w:hAnsi="微软雅黑" w:hint="eastAsia"/>
          <w:color w:val="979797"/>
          <w:sz w:val="28"/>
          <w:szCs w:val="28"/>
        </w:rPr>
        <w:t>（来源: 科技教育司）</w:t>
      </w:r>
    </w:p>
    <w:p w:rsidR="000201E1" w:rsidRPr="000201E1" w:rsidRDefault="000201E1" w:rsidP="000201E1">
      <w:pPr>
        <w:pStyle w:val="a5"/>
        <w:spacing w:before="0" w:beforeAutospacing="0" w:after="0" w:afterAutospacing="0"/>
        <w:ind w:firstLineChars="200" w:firstLine="560"/>
        <w:jc w:val="both"/>
        <w:rPr>
          <w:rFonts w:ascii="仿宋" w:eastAsia="仿宋" w:hAnsi="仿宋"/>
          <w:color w:val="484848"/>
          <w:sz w:val="28"/>
          <w:szCs w:val="28"/>
        </w:rPr>
      </w:pPr>
      <w:r w:rsidRPr="000201E1">
        <w:rPr>
          <w:rFonts w:ascii="微软雅黑" w:eastAsia="微软雅黑" w:hAnsi="微软雅黑" w:hint="eastAsia"/>
          <w:color w:val="484848"/>
          <w:sz w:val="28"/>
          <w:szCs w:val="28"/>
        </w:rPr>
        <w:t>一、《规范》修订工作的背景</w:t>
      </w:r>
    </w:p>
    <w:p w:rsidR="000201E1" w:rsidRPr="000201E1" w:rsidRDefault="000201E1" w:rsidP="000201E1">
      <w:pPr>
        <w:pStyle w:val="a5"/>
        <w:spacing w:before="0" w:beforeAutospacing="0" w:after="0" w:afterAutospacing="0"/>
        <w:ind w:firstLineChars="200" w:firstLine="560"/>
        <w:jc w:val="both"/>
        <w:rPr>
          <w:rFonts w:ascii="仿宋" w:eastAsia="仿宋" w:hAnsi="仿宋" w:hint="eastAsia"/>
          <w:color w:val="484848"/>
          <w:sz w:val="28"/>
          <w:szCs w:val="28"/>
        </w:rPr>
      </w:pPr>
      <w:r w:rsidRPr="000201E1">
        <w:rPr>
          <w:rFonts w:ascii="仿宋" w:eastAsia="仿宋" w:hAnsi="仿宋" w:hint="eastAsia"/>
          <w:color w:val="484848"/>
          <w:sz w:val="28"/>
          <w:szCs w:val="28"/>
        </w:rPr>
        <w:t>2014年9月，原国家卫生计生委与国家中医药管理局联合发布了《医学科研诚信和相关行为规范》（以下简称《规范》），在提高广大医学科研人员诚信意识，遵守诚信原则，养成良好科研行为习惯等方面发挥了积极的引导作用。《规范》发布以来，党中央、国务院对加强科研诚信建设提出了一系列新的要求，为更好贯彻落实，在医学科研领域进一步加强科研诚信建设，国家卫生健康委员会会同科技部、国家中医药管理局共同修订了《规范》。</w:t>
      </w:r>
    </w:p>
    <w:p w:rsidR="000201E1" w:rsidRPr="000201E1" w:rsidRDefault="000201E1" w:rsidP="000201E1">
      <w:pPr>
        <w:pStyle w:val="a5"/>
        <w:spacing w:before="0" w:beforeAutospacing="0" w:after="0" w:afterAutospacing="0"/>
        <w:ind w:firstLineChars="200" w:firstLine="560"/>
        <w:jc w:val="both"/>
        <w:rPr>
          <w:rFonts w:ascii="仿宋" w:eastAsia="仿宋" w:hAnsi="仿宋" w:hint="eastAsia"/>
          <w:color w:val="484848"/>
          <w:sz w:val="28"/>
          <w:szCs w:val="28"/>
        </w:rPr>
      </w:pPr>
      <w:r w:rsidRPr="000201E1">
        <w:rPr>
          <w:rFonts w:ascii="微软雅黑" w:eastAsia="微软雅黑" w:hAnsi="微软雅黑" w:hint="eastAsia"/>
          <w:color w:val="484848"/>
          <w:sz w:val="28"/>
          <w:szCs w:val="28"/>
        </w:rPr>
        <w:t>二、《规范》的适用范围</w:t>
      </w:r>
    </w:p>
    <w:p w:rsidR="000201E1" w:rsidRPr="000201E1" w:rsidRDefault="000201E1" w:rsidP="000201E1">
      <w:pPr>
        <w:pStyle w:val="a5"/>
        <w:spacing w:before="0" w:beforeAutospacing="0" w:after="0" w:afterAutospacing="0"/>
        <w:ind w:firstLineChars="200" w:firstLine="560"/>
        <w:jc w:val="both"/>
        <w:rPr>
          <w:rFonts w:ascii="仿宋" w:eastAsia="仿宋" w:hAnsi="仿宋" w:hint="eastAsia"/>
          <w:color w:val="484848"/>
          <w:sz w:val="28"/>
          <w:szCs w:val="28"/>
        </w:rPr>
      </w:pPr>
      <w:r w:rsidRPr="000201E1">
        <w:rPr>
          <w:rFonts w:ascii="仿宋" w:eastAsia="仿宋" w:hAnsi="仿宋" w:hint="eastAsia"/>
          <w:color w:val="484848"/>
          <w:sz w:val="28"/>
          <w:szCs w:val="28"/>
        </w:rPr>
        <w:t>《规范》适用于所有从事医学科研活动的人员和所有开展医学科研工作的机构，不限于医疗卫生机构和各级卫生行政部门直属的医学科研机构及其科研人员。</w:t>
      </w:r>
    </w:p>
    <w:p w:rsidR="000201E1" w:rsidRPr="000201E1" w:rsidRDefault="000201E1" w:rsidP="000201E1">
      <w:pPr>
        <w:pStyle w:val="a5"/>
        <w:spacing w:before="0" w:beforeAutospacing="0" w:after="0" w:afterAutospacing="0"/>
        <w:ind w:firstLineChars="200" w:firstLine="560"/>
        <w:jc w:val="both"/>
        <w:rPr>
          <w:rFonts w:ascii="仿宋" w:eastAsia="仿宋" w:hAnsi="仿宋" w:hint="eastAsia"/>
          <w:color w:val="484848"/>
          <w:sz w:val="28"/>
          <w:szCs w:val="28"/>
        </w:rPr>
      </w:pPr>
      <w:r w:rsidRPr="000201E1">
        <w:rPr>
          <w:rFonts w:ascii="微软雅黑" w:eastAsia="微软雅黑" w:hAnsi="微软雅黑" w:hint="eastAsia"/>
          <w:color w:val="484848"/>
          <w:sz w:val="28"/>
          <w:szCs w:val="28"/>
        </w:rPr>
        <w:t>三、《规范》明确了医学研究活动应当遵循的基本规范</w:t>
      </w:r>
    </w:p>
    <w:p w:rsidR="000201E1" w:rsidRPr="000201E1" w:rsidRDefault="000201E1" w:rsidP="000201E1">
      <w:pPr>
        <w:pStyle w:val="a5"/>
        <w:spacing w:before="0" w:beforeAutospacing="0" w:after="0" w:afterAutospacing="0"/>
        <w:ind w:firstLineChars="200" w:firstLine="560"/>
        <w:jc w:val="both"/>
        <w:rPr>
          <w:rFonts w:ascii="仿宋" w:eastAsia="仿宋" w:hAnsi="仿宋" w:hint="eastAsia"/>
          <w:color w:val="484848"/>
          <w:sz w:val="28"/>
          <w:szCs w:val="28"/>
        </w:rPr>
      </w:pPr>
      <w:r w:rsidRPr="000201E1">
        <w:rPr>
          <w:rFonts w:ascii="仿宋" w:eastAsia="仿宋" w:hAnsi="仿宋" w:hint="eastAsia"/>
          <w:color w:val="484848"/>
          <w:sz w:val="28"/>
          <w:szCs w:val="28"/>
        </w:rPr>
        <w:t>一是明确了医学科研行为涵盖科研项目的申请、预实验研究、实施研究、结果报告、项目检查、执行过程管理、成果总结及发表、评估审议、验收等科研活动全流程。二是强调医学研究要牢固树立生物安全意识，在从事致病病原研究过程做到依法合规。三是确定医学科研活动有关记录和数据由所在单位集中保存的原则。四是明确提出科普宣传中不得向公众传播未经科学验证的现象和观点，在疫情防控期间应当严格遵守疫情防控管理要求等准则。</w:t>
      </w:r>
    </w:p>
    <w:p w:rsidR="000201E1" w:rsidRPr="000201E1" w:rsidRDefault="000201E1" w:rsidP="000201E1">
      <w:pPr>
        <w:pStyle w:val="a5"/>
        <w:spacing w:before="0" w:beforeAutospacing="0" w:after="0" w:afterAutospacing="0"/>
        <w:ind w:firstLineChars="200" w:firstLine="560"/>
        <w:jc w:val="both"/>
        <w:rPr>
          <w:rFonts w:ascii="仿宋" w:eastAsia="仿宋" w:hAnsi="仿宋" w:hint="eastAsia"/>
          <w:color w:val="484848"/>
          <w:sz w:val="28"/>
          <w:szCs w:val="28"/>
        </w:rPr>
      </w:pPr>
      <w:r w:rsidRPr="000201E1">
        <w:rPr>
          <w:rFonts w:ascii="微软雅黑" w:eastAsia="微软雅黑" w:hAnsi="微软雅黑" w:hint="eastAsia"/>
          <w:color w:val="484848"/>
          <w:sz w:val="28"/>
          <w:szCs w:val="28"/>
        </w:rPr>
        <w:lastRenderedPageBreak/>
        <w:t>四、《规范》突出了医学研究机构科研诚信主体责任</w:t>
      </w:r>
    </w:p>
    <w:p w:rsidR="000201E1" w:rsidRPr="000201E1" w:rsidRDefault="000201E1" w:rsidP="000201E1">
      <w:pPr>
        <w:pStyle w:val="a5"/>
        <w:spacing w:before="0" w:beforeAutospacing="0" w:after="0" w:afterAutospacing="0"/>
        <w:ind w:firstLineChars="200" w:firstLine="560"/>
        <w:jc w:val="both"/>
        <w:rPr>
          <w:rFonts w:ascii="仿宋" w:eastAsia="仿宋" w:hAnsi="仿宋" w:hint="eastAsia"/>
          <w:color w:val="484848"/>
          <w:sz w:val="28"/>
          <w:szCs w:val="28"/>
        </w:rPr>
      </w:pPr>
      <w:r w:rsidRPr="000201E1">
        <w:rPr>
          <w:rFonts w:ascii="仿宋" w:eastAsia="仿宋" w:hAnsi="仿宋" w:hint="eastAsia"/>
          <w:color w:val="484848"/>
          <w:sz w:val="28"/>
          <w:szCs w:val="28"/>
        </w:rPr>
        <w:t>一是要求建立健全内部管理体系；二是加强内部管理制度；三是加强成果管理，建立科研成果全流程追溯机制；四是淡化论文发表数量、影响因子等与人员奖励奖金、临床医生考核等的关系；五是建立科研人员职业培训和教育体系，加强对医学科研人员诚信教育；六是对特殊领域如传染病、生物安全等的研究成果进行评估。</w:t>
      </w:r>
    </w:p>
    <w:p w:rsidR="000201E1" w:rsidRPr="000201E1" w:rsidRDefault="000201E1" w:rsidP="000201E1">
      <w:pPr>
        <w:pStyle w:val="a5"/>
        <w:spacing w:before="0" w:beforeAutospacing="0" w:after="0" w:afterAutospacing="0"/>
        <w:ind w:firstLineChars="200" w:firstLine="560"/>
        <w:jc w:val="both"/>
        <w:rPr>
          <w:rFonts w:ascii="仿宋" w:eastAsia="仿宋" w:hAnsi="仿宋" w:hint="eastAsia"/>
          <w:color w:val="484848"/>
          <w:sz w:val="28"/>
          <w:szCs w:val="28"/>
        </w:rPr>
      </w:pPr>
      <w:r w:rsidRPr="000201E1">
        <w:rPr>
          <w:rFonts w:ascii="仿宋" w:eastAsia="仿宋" w:hAnsi="仿宋" w:hint="eastAsia"/>
          <w:color w:val="484848"/>
          <w:sz w:val="28"/>
          <w:szCs w:val="28"/>
        </w:rPr>
        <w:t>同时，根据当前医学科研诚信面临的新挑战，《规范》明确提出，同意署名的导师、项目负责人对发生的科研不端行为在承担管理、指导责任的同时还要承担同等责任，医学机构对科研不端行为的处理意见应当予以公布等规范要求和医学科研机构集中妥善管理医学科研相关原始数据、生物信息、图片、记录等以备核查等管理要求。</w:t>
      </w:r>
    </w:p>
    <w:p w:rsidR="000201E1" w:rsidRPr="000201E1" w:rsidRDefault="000201E1" w:rsidP="000201E1">
      <w:pPr>
        <w:pStyle w:val="a5"/>
        <w:spacing w:before="0" w:beforeAutospacing="0" w:after="0" w:afterAutospacing="0"/>
        <w:ind w:firstLineChars="200" w:firstLine="560"/>
        <w:jc w:val="both"/>
        <w:rPr>
          <w:rFonts w:ascii="仿宋" w:eastAsia="仿宋" w:hAnsi="仿宋" w:hint="eastAsia"/>
          <w:color w:val="484848"/>
          <w:sz w:val="28"/>
          <w:szCs w:val="28"/>
        </w:rPr>
      </w:pPr>
      <w:r w:rsidRPr="000201E1">
        <w:rPr>
          <w:rFonts w:ascii="微软雅黑" w:eastAsia="微软雅黑" w:hAnsi="微软雅黑" w:hint="eastAsia"/>
          <w:color w:val="484848"/>
          <w:sz w:val="28"/>
          <w:szCs w:val="28"/>
        </w:rPr>
        <w:t>五、《规范》与《科研诚信案件调查处理规范（试行）》有序衔接</w:t>
      </w:r>
    </w:p>
    <w:p w:rsidR="000201E1" w:rsidRPr="000201E1" w:rsidRDefault="000201E1" w:rsidP="000201E1">
      <w:pPr>
        <w:pStyle w:val="a5"/>
        <w:spacing w:before="0" w:beforeAutospacing="0" w:after="0" w:afterAutospacing="0"/>
        <w:ind w:firstLineChars="200" w:firstLine="560"/>
        <w:jc w:val="both"/>
        <w:rPr>
          <w:rFonts w:ascii="仿宋" w:eastAsia="仿宋" w:hAnsi="仿宋" w:hint="eastAsia"/>
          <w:color w:val="484848"/>
          <w:sz w:val="28"/>
          <w:szCs w:val="28"/>
        </w:rPr>
      </w:pPr>
      <w:r w:rsidRPr="000201E1">
        <w:rPr>
          <w:rFonts w:ascii="仿宋" w:eastAsia="仿宋" w:hAnsi="仿宋" w:hint="eastAsia"/>
          <w:color w:val="484848"/>
          <w:sz w:val="28"/>
          <w:szCs w:val="28"/>
        </w:rPr>
        <w:t>2019年10月，科技部会同国家卫生健康委员会等20部门制定《科研诚信案件调查处理规则（试行）》（以下简称《调查处理规则》），对科研诚信案件调查工作的责任、程序等作出了明确规定。修订后的《规范》则进一步明确了医学科研诚信及相关行为的准则，界定了“是与非”的边界，将与《调查处理规则》协同发挥作用，持续改进、不断营造风清气正的良好医学科研氛围。</w:t>
      </w:r>
    </w:p>
    <w:p w:rsidR="000201E1" w:rsidRPr="000201E1" w:rsidRDefault="000201E1" w:rsidP="000201E1">
      <w:pPr>
        <w:jc w:val="left"/>
        <w:rPr>
          <w:sz w:val="28"/>
          <w:szCs w:val="28"/>
        </w:rPr>
      </w:pPr>
    </w:p>
    <w:sectPr w:rsidR="000201E1" w:rsidRPr="000201E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50D" w:rsidRDefault="005E250D" w:rsidP="000201E1">
      <w:r>
        <w:separator/>
      </w:r>
    </w:p>
  </w:endnote>
  <w:endnote w:type="continuationSeparator" w:id="1">
    <w:p w:rsidR="005E250D" w:rsidRDefault="005E250D" w:rsidP="000201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50D" w:rsidRDefault="005E250D" w:rsidP="000201E1">
      <w:r>
        <w:separator/>
      </w:r>
    </w:p>
  </w:footnote>
  <w:footnote w:type="continuationSeparator" w:id="1">
    <w:p w:rsidR="005E250D" w:rsidRDefault="005E250D" w:rsidP="000201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01E1"/>
    <w:rsid w:val="000201E1"/>
    <w:rsid w:val="005E25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201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201E1"/>
    <w:rPr>
      <w:sz w:val="18"/>
      <w:szCs w:val="18"/>
    </w:rPr>
  </w:style>
  <w:style w:type="paragraph" w:styleId="a4">
    <w:name w:val="footer"/>
    <w:basedOn w:val="a"/>
    <w:link w:val="Char0"/>
    <w:uiPriority w:val="99"/>
    <w:semiHidden/>
    <w:unhideWhenUsed/>
    <w:rsid w:val="000201E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201E1"/>
    <w:rPr>
      <w:sz w:val="18"/>
      <w:szCs w:val="18"/>
    </w:rPr>
  </w:style>
  <w:style w:type="paragraph" w:styleId="a5">
    <w:name w:val="Normal (Web)"/>
    <w:basedOn w:val="a"/>
    <w:uiPriority w:val="99"/>
    <w:semiHidden/>
    <w:unhideWhenUsed/>
    <w:rsid w:val="000201E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9234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160</Words>
  <Characters>912</Characters>
  <Application>Microsoft Office Word</Application>
  <DocSecurity>0</DocSecurity>
  <Lines>7</Lines>
  <Paragraphs>2</Paragraphs>
  <ScaleCrop>false</ScaleCrop>
  <Company/>
  <LinksUpToDate>false</LinksUpToDate>
  <CharactersWithSpaces>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2021-02-23T15:06:00Z</dcterms:created>
  <dcterms:modified xsi:type="dcterms:W3CDTF">2021-02-23T15:08:00Z</dcterms:modified>
</cp:coreProperties>
</file>